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3D0048" w14:textId="77777777" w:rsidR="0049762A" w:rsidRPr="00F014BC" w:rsidRDefault="003776AD" w:rsidP="0049762A">
      <w:pPr>
        <w:rPr>
          <w:rFonts w:ascii="Barlow Medium" w:hAnsi="Barlow Medium"/>
          <w:b/>
          <w:i/>
          <w:color w:val="404040" w:themeColor="text1" w:themeTint="BF"/>
          <w:sz w:val="36"/>
          <w:szCs w:val="36"/>
        </w:rPr>
      </w:pPr>
      <w:bookmarkStart w:id="0" w:name="_GoBack"/>
      <w:bookmarkEnd w:id="0"/>
      <w:r>
        <w:rPr>
          <w:rFonts w:ascii="Century Gothic" w:hAnsi="Century Gothic"/>
          <w:noProof/>
        </w:rPr>
        <w:drawing>
          <wp:anchor distT="0" distB="0" distL="114300" distR="114300" simplePos="0" relativeHeight="251661312" behindDoc="0" locked="0" layoutInCell="1" allowOverlap="1" wp14:anchorId="068DAF05" wp14:editId="048018BA">
            <wp:simplePos x="0" y="0"/>
            <wp:positionH relativeFrom="column">
              <wp:posOffset>3861902</wp:posOffset>
            </wp:positionH>
            <wp:positionV relativeFrom="paragraph">
              <wp:posOffset>-166155</wp:posOffset>
            </wp:positionV>
            <wp:extent cx="2534895" cy="836762"/>
            <wp:effectExtent l="0" t="0" r="0" b="190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groupement_HDF.jpg"/>
                    <pic:cNvPicPr/>
                  </pic:nvPicPr>
                  <pic:blipFill rotWithShape="1">
                    <a:blip r:embed="rId4">
                      <a:extLst>
                        <a:ext uri="{28A0092B-C50C-407E-A947-70E740481C1C}">
                          <a14:useLocalDpi xmlns:a14="http://schemas.microsoft.com/office/drawing/2010/main" val="0"/>
                        </a:ext>
                      </a:extLst>
                    </a:blip>
                    <a:srcRect l="7144" r="6463"/>
                    <a:stretch/>
                  </pic:blipFill>
                  <pic:spPr bwMode="auto">
                    <a:xfrm>
                      <a:off x="0" y="0"/>
                      <a:ext cx="2534895" cy="8367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noProof/>
        </w:rPr>
        <w:drawing>
          <wp:anchor distT="0" distB="0" distL="114300" distR="114300" simplePos="0" relativeHeight="251660288" behindDoc="0" locked="0" layoutInCell="1" allowOverlap="1" wp14:anchorId="41415D1B" wp14:editId="039D9DDE">
            <wp:simplePos x="0" y="0"/>
            <wp:positionH relativeFrom="column">
              <wp:posOffset>1824535</wp:posOffset>
            </wp:positionH>
            <wp:positionV relativeFrom="paragraph">
              <wp:posOffset>-140335</wp:posOffset>
            </wp:positionV>
            <wp:extent cx="1875602" cy="897148"/>
            <wp:effectExtent l="0" t="0" r="4445" b="508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SITIONSPRO_HAUT_DE_FRANCE_CMYK.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75602" cy="897148"/>
                    </a:xfrm>
                    <a:prstGeom prst="rect">
                      <a:avLst/>
                    </a:prstGeom>
                  </pic:spPr>
                </pic:pic>
              </a:graphicData>
            </a:graphic>
            <wp14:sizeRelH relativeFrom="margin">
              <wp14:pctWidth>0</wp14:pctWidth>
            </wp14:sizeRelH>
            <wp14:sizeRelV relativeFrom="margin">
              <wp14:pctHeight>0</wp14:pctHeight>
            </wp14:sizeRelV>
          </wp:anchor>
        </w:drawing>
      </w:r>
      <w:r w:rsidR="0049762A">
        <w:rPr>
          <w:noProof/>
        </w:rPr>
        <w:drawing>
          <wp:anchor distT="0" distB="0" distL="114300" distR="114300" simplePos="0" relativeHeight="251659264" behindDoc="0" locked="0" layoutInCell="1" allowOverlap="1" wp14:anchorId="50BE04F2" wp14:editId="24D093B4">
            <wp:simplePos x="0" y="0"/>
            <wp:positionH relativeFrom="column">
              <wp:posOffset>-327133</wp:posOffset>
            </wp:positionH>
            <wp:positionV relativeFrom="paragraph">
              <wp:posOffset>86696</wp:posOffset>
            </wp:positionV>
            <wp:extent cx="223200" cy="338400"/>
            <wp:effectExtent l="0" t="0" r="5715" b="508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32).png"/>
                    <pic:cNvPicPr/>
                  </pic:nvPicPr>
                  <pic:blipFill>
                    <a:blip r:embed="rId6">
                      <a:extLst>
                        <a:ext uri="{28A0092B-C50C-407E-A947-70E740481C1C}">
                          <a14:useLocalDpi xmlns:a14="http://schemas.microsoft.com/office/drawing/2010/main" val="0"/>
                        </a:ext>
                      </a:extLst>
                    </a:blip>
                    <a:stretch>
                      <a:fillRect/>
                    </a:stretch>
                  </pic:blipFill>
                  <pic:spPr>
                    <a:xfrm>
                      <a:off x="0" y="0"/>
                      <a:ext cx="223200" cy="338400"/>
                    </a:xfrm>
                    <a:prstGeom prst="rect">
                      <a:avLst/>
                    </a:prstGeom>
                  </pic:spPr>
                </pic:pic>
              </a:graphicData>
            </a:graphic>
            <wp14:sizeRelH relativeFrom="margin">
              <wp14:pctWidth>0</wp14:pctWidth>
            </wp14:sizeRelH>
            <wp14:sizeRelV relativeFrom="margin">
              <wp14:pctHeight>0</wp14:pctHeight>
            </wp14:sizeRelV>
          </wp:anchor>
        </w:drawing>
      </w:r>
      <w:r w:rsidR="0049762A">
        <w:t xml:space="preserve"> </w:t>
      </w:r>
      <w:r w:rsidR="0049762A" w:rsidRPr="00F014BC">
        <w:rPr>
          <w:rFonts w:ascii="Barlow Medium" w:hAnsi="Barlow Medium"/>
          <w:b/>
          <w:i/>
          <w:color w:val="404040" w:themeColor="text1" w:themeTint="BF"/>
          <w:sz w:val="36"/>
          <w:szCs w:val="36"/>
        </w:rPr>
        <w:t>COMMUNIQUÉ</w:t>
      </w:r>
    </w:p>
    <w:p w14:paraId="6440A7D1" w14:textId="77777777" w:rsidR="0049762A" w:rsidRPr="00F014BC" w:rsidRDefault="0049762A" w:rsidP="0049762A">
      <w:pPr>
        <w:rPr>
          <w:rFonts w:ascii="Barlow Medium" w:hAnsi="Barlow Medium"/>
          <w:b/>
          <w:i/>
          <w:color w:val="404040" w:themeColor="text1" w:themeTint="BF"/>
          <w:sz w:val="36"/>
          <w:szCs w:val="36"/>
        </w:rPr>
      </w:pPr>
      <w:r w:rsidRPr="00F014BC">
        <w:rPr>
          <w:rFonts w:ascii="Barlow Medium" w:hAnsi="Barlow Medium"/>
          <w:b/>
          <w:i/>
          <w:color w:val="404040" w:themeColor="text1" w:themeTint="BF"/>
          <w:sz w:val="36"/>
          <w:szCs w:val="36"/>
        </w:rPr>
        <w:t>DE PRESSE</w:t>
      </w:r>
    </w:p>
    <w:p w14:paraId="1F72D8B7" w14:textId="77777777" w:rsidR="0049762A" w:rsidRDefault="0049762A" w:rsidP="0049762A">
      <w:pPr>
        <w:rPr>
          <w:rFonts w:ascii="Century Gothic" w:hAnsi="Century Gothic"/>
          <w:sz w:val="20"/>
          <w:szCs w:val="20"/>
        </w:rPr>
      </w:pPr>
    </w:p>
    <w:p w14:paraId="13F0AB84" w14:textId="77777777" w:rsidR="0049762A" w:rsidRDefault="0049762A" w:rsidP="0049762A">
      <w:pPr>
        <w:rPr>
          <w:rFonts w:ascii="Century Gothic" w:hAnsi="Century Gothic"/>
          <w:sz w:val="20"/>
          <w:szCs w:val="20"/>
        </w:rPr>
      </w:pPr>
    </w:p>
    <w:p w14:paraId="12F0A1ED" w14:textId="77777777" w:rsidR="0049762A" w:rsidRPr="00F014BC" w:rsidRDefault="0049762A" w:rsidP="0049762A">
      <w:pPr>
        <w:rPr>
          <w:rFonts w:ascii="Century Gothic" w:hAnsi="Century Gothic"/>
          <w:sz w:val="28"/>
          <w:szCs w:val="28"/>
        </w:rPr>
      </w:pPr>
    </w:p>
    <w:p w14:paraId="3480B2B4" w14:textId="7A10465D" w:rsidR="0049762A" w:rsidRPr="00F014BC" w:rsidRDefault="0049762A" w:rsidP="0049762A">
      <w:pPr>
        <w:rPr>
          <w:rFonts w:ascii="Barlow" w:hAnsi="Barlow"/>
          <w:sz w:val="28"/>
          <w:szCs w:val="28"/>
        </w:rPr>
      </w:pPr>
      <w:r w:rsidRPr="00F014BC">
        <w:rPr>
          <w:rFonts w:ascii="Barlow" w:hAnsi="Barlow"/>
          <w:sz w:val="28"/>
          <w:szCs w:val="28"/>
        </w:rPr>
        <w:t xml:space="preserve"> Lille, le </w:t>
      </w:r>
      <w:r w:rsidR="00416EF6">
        <w:rPr>
          <w:rFonts w:ascii="Barlow" w:hAnsi="Barlow"/>
          <w:sz w:val="28"/>
          <w:szCs w:val="28"/>
        </w:rPr>
        <w:t xml:space="preserve">09 </w:t>
      </w:r>
      <w:r>
        <w:rPr>
          <w:rFonts w:ascii="Barlow" w:hAnsi="Barlow"/>
          <w:sz w:val="28"/>
          <w:szCs w:val="28"/>
        </w:rPr>
        <w:t>Juin</w:t>
      </w:r>
      <w:r w:rsidRPr="00F014BC">
        <w:rPr>
          <w:rFonts w:ascii="Barlow" w:hAnsi="Barlow"/>
          <w:sz w:val="28"/>
          <w:szCs w:val="28"/>
        </w:rPr>
        <w:t xml:space="preserve"> 2021</w:t>
      </w:r>
    </w:p>
    <w:p w14:paraId="4854604F" w14:textId="77777777" w:rsidR="0049762A" w:rsidRPr="00F014BC" w:rsidRDefault="0049762A" w:rsidP="0049762A">
      <w:pPr>
        <w:rPr>
          <w:rFonts w:ascii="Barlow" w:hAnsi="Barlow"/>
        </w:rPr>
      </w:pPr>
    </w:p>
    <w:p w14:paraId="67FF8406" w14:textId="1A61779A" w:rsidR="0049762A" w:rsidRPr="003776AD" w:rsidRDefault="0049762A" w:rsidP="0049762A">
      <w:pPr>
        <w:jc w:val="center"/>
        <w:rPr>
          <w:rFonts w:ascii="Barlow ExtraBold" w:hAnsi="Barlow ExtraBold"/>
          <w:color w:val="00A8A9"/>
          <w:sz w:val="28"/>
          <w:szCs w:val="28"/>
        </w:rPr>
      </w:pPr>
      <w:r w:rsidRPr="003776AD">
        <w:rPr>
          <w:rFonts w:ascii="Barlow ExtraBold" w:hAnsi="Barlow ExtraBold"/>
          <w:color w:val="00A8A9"/>
          <w:sz w:val="28"/>
          <w:szCs w:val="28"/>
        </w:rPr>
        <w:t>Transitions Pro Hauts-de-France </w:t>
      </w:r>
      <w:r w:rsidR="00416EF6">
        <w:rPr>
          <w:rFonts w:ascii="Barlow ExtraBold" w:hAnsi="Barlow ExtraBold"/>
          <w:color w:val="00A8A9"/>
          <w:sz w:val="28"/>
          <w:szCs w:val="28"/>
        </w:rPr>
        <w:t>et</w:t>
      </w:r>
      <w:r w:rsidRPr="003776AD">
        <w:rPr>
          <w:rFonts w:ascii="Barlow ExtraBold" w:hAnsi="Barlow ExtraBold"/>
          <w:color w:val="00A8A9"/>
          <w:sz w:val="28"/>
          <w:szCs w:val="28"/>
        </w:rPr>
        <w:t xml:space="preserve"> le Groupement Évolution : un partenariat pour favoriser l’accompagnement et la réalisation des projets professionnels des salariés de la région.</w:t>
      </w:r>
    </w:p>
    <w:p w14:paraId="5078C567" w14:textId="77777777" w:rsidR="0049762A" w:rsidRDefault="0049762A" w:rsidP="0049762A">
      <w:pPr>
        <w:rPr>
          <w:rFonts w:ascii="Times New Roman" w:eastAsia="Times New Roman" w:hAnsi="Times New Roman" w:cs="Times New Roman"/>
          <w:lang w:eastAsia="fr-FR"/>
        </w:rPr>
      </w:pPr>
    </w:p>
    <w:p w14:paraId="4439D77C" w14:textId="77777777" w:rsidR="0049762A" w:rsidRPr="00356867" w:rsidRDefault="0049762A" w:rsidP="0049762A">
      <w:pPr>
        <w:rPr>
          <w:rFonts w:ascii="Times New Roman" w:eastAsia="Times New Roman" w:hAnsi="Times New Roman" w:cs="Times New Roman"/>
          <w:lang w:eastAsia="fr-FR"/>
        </w:rPr>
      </w:pPr>
      <w:r>
        <w:rPr>
          <w:rFonts w:ascii="Times New Roman" w:eastAsia="Times New Roman" w:hAnsi="Times New Roman" w:cs="Times New Roman"/>
          <w:noProof/>
          <w:lang w:eastAsia="fr-FR"/>
        </w:rPr>
        <w:drawing>
          <wp:inline distT="0" distB="0" distL="0" distR="0" wp14:anchorId="70BF276C" wp14:editId="70583B90">
            <wp:extent cx="5650302" cy="3959079"/>
            <wp:effectExtent l="0" t="0" r="127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PRO HDF Groupement Evolution 01.06.21.jpeg"/>
                    <pic:cNvPicPr/>
                  </pic:nvPicPr>
                  <pic:blipFill rotWithShape="1">
                    <a:blip r:embed="rId7">
                      <a:extLst>
                        <a:ext uri="{28A0092B-C50C-407E-A947-70E740481C1C}">
                          <a14:useLocalDpi xmlns:a14="http://schemas.microsoft.com/office/drawing/2010/main" val="0"/>
                        </a:ext>
                      </a:extLst>
                    </a:blip>
                    <a:srcRect t="4393" r="1905" b="3963"/>
                    <a:stretch/>
                  </pic:blipFill>
                  <pic:spPr bwMode="auto">
                    <a:xfrm>
                      <a:off x="0" y="0"/>
                      <a:ext cx="5650925" cy="3959515"/>
                    </a:xfrm>
                    <a:prstGeom prst="rect">
                      <a:avLst/>
                    </a:prstGeom>
                    <a:ln>
                      <a:noFill/>
                    </a:ln>
                    <a:extLst>
                      <a:ext uri="{53640926-AAD7-44D8-BBD7-CCE9431645EC}">
                        <a14:shadowObscured xmlns:a14="http://schemas.microsoft.com/office/drawing/2010/main"/>
                      </a:ext>
                    </a:extLst>
                  </pic:spPr>
                </pic:pic>
              </a:graphicData>
            </a:graphic>
          </wp:inline>
        </w:drawing>
      </w:r>
    </w:p>
    <w:p w14:paraId="7A0C8C6E" w14:textId="77777777" w:rsidR="0049762A" w:rsidRPr="00F014BC" w:rsidRDefault="0049762A" w:rsidP="0049762A">
      <w:pPr>
        <w:shd w:val="clear" w:color="auto" w:fill="FFFFFF"/>
        <w:jc w:val="center"/>
        <w:rPr>
          <w:rFonts w:ascii="Barlow" w:hAnsi="Barlow" w:cs="Calibri"/>
          <w:color w:val="212121"/>
        </w:rPr>
      </w:pPr>
    </w:p>
    <w:p w14:paraId="4E7456BD" w14:textId="40506B79" w:rsidR="0049762A" w:rsidRPr="0049762A" w:rsidRDefault="0049762A" w:rsidP="0049762A">
      <w:pPr>
        <w:shd w:val="clear" w:color="auto" w:fill="FFFFFF"/>
        <w:ind w:right="-573"/>
        <w:jc w:val="center"/>
        <w:rPr>
          <w:rFonts w:ascii="Barlow" w:hAnsi="Barlow" w:cs="Calibri"/>
          <w:color w:val="212121"/>
          <w:sz w:val="20"/>
          <w:szCs w:val="20"/>
        </w:rPr>
      </w:pPr>
      <w:r w:rsidRPr="0049762A">
        <w:rPr>
          <w:rFonts w:ascii="Barlow" w:hAnsi="Barlow" w:cs="Calibri"/>
          <w:color w:val="212121"/>
          <w:sz w:val="20"/>
          <w:szCs w:val="20"/>
        </w:rPr>
        <w:t>St</w:t>
      </w:r>
      <w:r w:rsidR="00416EF6">
        <w:rPr>
          <w:rFonts w:ascii="Barlow" w:hAnsi="Barlow" w:cs="Calibri"/>
          <w:color w:val="212121"/>
          <w:sz w:val="20"/>
          <w:szCs w:val="20"/>
        </w:rPr>
        <w:t>é</w:t>
      </w:r>
      <w:r w:rsidRPr="0049762A">
        <w:rPr>
          <w:rFonts w:ascii="Barlow" w:hAnsi="Barlow" w:cs="Calibri"/>
          <w:color w:val="212121"/>
          <w:sz w:val="20"/>
          <w:szCs w:val="20"/>
        </w:rPr>
        <w:t>phan G</w:t>
      </w:r>
      <w:r>
        <w:rPr>
          <w:rFonts w:ascii="Barlow" w:hAnsi="Barlow" w:cs="Calibri"/>
          <w:color w:val="212121"/>
          <w:sz w:val="20"/>
          <w:szCs w:val="20"/>
        </w:rPr>
        <w:t>uénézan</w:t>
      </w:r>
      <w:r w:rsidRPr="0049762A">
        <w:rPr>
          <w:rFonts w:ascii="Barlow" w:hAnsi="Barlow" w:cs="Calibri"/>
          <w:color w:val="212121"/>
          <w:sz w:val="20"/>
          <w:szCs w:val="20"/>
        </w:rPr>
        <w:t xml:space="preserve"> – Directeur général Transitions Pro H</w:t>
      </w:r>
      <w:r>
        <w:rPr>
          <w:rFonts w:ascii="Barlow" w:hAnsi="Barlow" w:cs="Calibri"/>
          <w:color w:val="212121"/>
          <w:sz w:val="20"/>
          <w:szCs w:val="20"/>
        </w:rPr>
        <w:t>auts-de-</w:t>
      </w:r>
      <w:r w:rsidRPr="0049762A">
        <w:rPr>
          <w:rFonts w:ascii="Barlow" w:hAnsi="Barlow" w:cs="Calibri"/>
          <w:color w:val="212121"/>
          <w:sz w:val="20"/>
          <w:szCs w:val="20"/>
        </w:rPr>
        <w:t>F</w:t>
      </w:r>
      <w:r>
        <w:rPr>
          <w:rFonts w:ascii="Barlow" w:hAnsi="Barlow" w:cs="Calibri"/>
          <w:color w:val="212121"/>
          <w:sz w:val="20"/>
          <w:szCs w:val="20"/>
        </w:rPr>
        <w:t>rance</w:t>
      </w:r>
    </w:p>
    <w:p w14:paraId="60307763" w14:textId="77777777" w:rsidR="0049762A" w:rsidRPr="0049762A" w:rsidRDefault="0049762A" w:rsidP="0049762A">
      <w:pPr>
        <w:ind w:right="-573"/>
        <w:jc w:val="center"/>
        <w:rPr>
          <w:rFonts w:ascii="Times New Roman" w:eastAsia="Times New Roman" w:hAnsi="Times New Roman" w:cs="Times New Roman"/>
          <w:sz w:val="20"/>
          <w:szCs w:val="20"/>
          <w:lang w:eastAsia="fr-FR"/>
        </w:rPr>
      </w:pPr>
      <w:r w:rsidRPr="0049762A">
        <w:rPr>
          <w:rFonts w:ascii="Barlow" w:hAnsi="Barlow" w:cs="Calibri"/>
          <w:color w:val="212121"/>
          <w:sz w:val="20"/>
          <w:szCs w:val="20"/>
        </w:rPr>
        <w:t>Enis Saoudi - Directeur de Projet Conseil en Évolution Professionnelle</w:t>
      </w:r>
      <w:r>
        <w:rPr>
          <w:rFonts w:ascii="Barlow" w:hAnsi="Barlow" w:cs="Calibri"/>
          <w:color w:val="212121"/>
          <w:sz w:val="20"/>
          <w:szCs w:val="20"/>
        </w:rPr>
        <w:t xml:space="preserve"> - </w:t>
      </w:r>
      <w:r w:rsidRPr="0049762A">
        <w:rPr>
          <w:rFonts w:ascii="Barlow" w:hAnsi="Barlow" w:cs="Calibri"/>
          <w:color w:val="212121"/>
          <w:sz w:val="20"/>
          <w:szCs w:val="20"/>
        </w:rPr>
        <w:t>Groupement Évolution</w:t>
      </w:r>
    </w:p>
    <w:p w14:paraId="3E60EBEE" w14:textId="77777777" w:rsidR="0049762A" w:rsidRPr="00356867" w:rsidRDefault="0049762A" w:rsidP="0049762A">
      <w:pPr>
        <w:shd w:val="clear" w:color="auto" w:fill="FFFFFF"/>
        <w:jc w:val="both"/>
        <w:rPr>
          <w:rFonts w:ascii="Century Gothic" w:hAnsi="Century Gothic" w:cs="Calibri"/>
          <w:b/>
          <w:color w:val="002060"/>
        </w:rPr>
      </w:pPr>
    </w:p>
    <w:p w14:paraId="2747D092" w14:textId="77777777" w:rsidR="0049762A" w:rsidRDefault="0049762A" w:rsidP="0049762A">
      <w:pPr>
        <w:shd w:val="clear" w:color="auto" w:fill="FFFFFF"/>
        <w:rPr>
          <w:rFonts w:ascii="Barlow" w:hAnsi="Barlow" w:cs="Calibri"/>
          <w:color w:val="000000" w:themeColor="text1"/>
        </w:rPr>
      </w:pPr>
    </w:p>
    <w:p w14:paraId="091932FB" w14:textId="77777777" w:rsidR="0049762A" w:rsidRPr="000739B9" w:rsidRDefault="0049762A" w:rsidP="0049762A">
      <w:pPr>
        <w:shd w:val="clear" w:color="auto" w:fill="FFFFFF"/>
        <w:rPr>
          <w:rFonts w:ascii="Barlow" w:hAnsi="Barlow" w:cs="Calibri"/>
          <w:color w:val="000000" w:themeColor="text1"/>
        </w:rPr>
      </w:pPr>
      <w:r w:rsidRPr="000739B9">
        <w:rPr>
          <w:rFonts w:ascii="Barlow" w:hAnsi="Barlow" w:cs="Calibri"/>
          <w:color w:val="000000" w:themeColor="text1"/>
        </w:rPr>
        <w:t>À travers ce partenariat, Transitions Pro Hauts-de-France et le Groupement Évolution concrétisent une volonté partagée visant à développer la visibilité des services et faire en sorte de mieux accompagner les publics, étape par étape, dans la réalisation de leur</w:t>
      </w:r>
      <w:r>
        <w:rPr>
          <w:rFonts w:ascii="Barlow" w:hAnsi="Barlow" w:cs="Calibri"/>
          <w:color w:val="000000" w:themeColor="text1"/>
        </w:rPr>
        <w:t>s</w:t>
      </w:r>
      <w:r w:rsidRPr="000739B9">
        <w:rPr>
          <w:rFonts w:ascii="Barlow" w:hAnsi="Barlow" w:cs="Calibri"/>
          <w:color w:val="000000" w:themeColor="text1"/>
        </w:rPr>
        <w:t xml:space="preserve"> projet</w:t>
      </w:r>
      <w:r>
        <w:rPr>
          <w:rFonts w:ascii="Barlow" w:hAnsi="Barlow" w:cs="Calibri"/>
          <w:color w:val="000000" w:themeColor="text1"/>
        </w:rPr>
        <w:t>s</w:t>
      </w:r>
      <w:r w:rsidRPr="000739B9">
        <w:rPr>
          <w:rFonts w:ascii="Barlow" w:hAnsi="Barlow" w:cs="Calibri"/>
          <w:color w:val="000000" w:themeColor="text1"/>
        </w:rPr>
        <w:t>.</w:t>
      </w:r>
    </w:p>
    <w:p w14:paraId="26C574AB" w14:textId="77777777" w:rsidR="0049762A" w:rsidRDefault="0049762A" w:rsidP="0049762A">
      <w:pPr>
        <w:shd w:val="clear" w:color="auto" w:fill="FFFFFF"/>
        <w:rPr>
          <w:rFonts w:ascii="Barlow" w:hAnsi="Barlow" w:cs="Calibri"/>
          <w:b/>
          <w:color w:val="00A8A9"/>
        </w:rPr>
      </w:pPr>
    </w:p>
    <w:p w14:paraId="6D86894F" w14:textId="2C30381D" w:rsidR="0049762A" w:rsidRPr="008F1451" w:rsidRDefault="0049762A" w:rsidP="0049762A">
      <w:pPr>
        <w:rPr>
          <w:rFonts w:ascii="Times New Roman" w:eastAsia="Times New Roman" w:hAnsi="Times New Roman" w:cs="Times New Roman"/>
          <w:lang w:eastAsia="fr-FR"/>
        </w:rPr>
      </w:pPr>
      <w:r w:rsidRPr="0025454C">
        <w:rPr>
          <w:rFonts w:ascii="Barlow" w:hAnsi="Barlow" w:cs="Calibri"/>
          <w:color w:val="000000" w:themeColor="text1"/>
        </w:rPr>
        <w:t>Depuis Janvier 2020, Le Groupement Évolution des Hauts</w:t>
      </w:r>
      <w:r>
        <w:rPr>
          <w:rFonts w:ascii="Barlow" w:hAnsi="Barlow" w:cs="Calibri"/>
          <w:color w:val="000000" w:themeColor="text1"/>
        </w:rPr>
        <w:t>-</w:t>
      </w:r>
      <w:r w:rsidRPr="0025454C">
        <w:rPr>
          <w:rFonts w:ascii="Barlow" w:hAnsi="Barlow" w:cs="Calibri"/>
          <w:color w:val="000000" w:themeColor="text1"/>
        </w:rPr>
        <w:t>de</w:t>
      </w:r>
      <w:r>
        <w:rPr>
          <w:rFonts w:ascii="Barlow" w:hAnsi="Barlow" w:cs="Calibri"/>
          <w:color w:val="000000" w:themeColor="text1"/>
        </w:rPr>
        <w:t>-</w:t>
      </w:r>
      <w:r w:rsidRPr="0025454C">
        <w:rPr>
          <w:rFonts w:ascii="Barlow" w:hAnsi="Barlow" w:cs="Calibri"/>
          <w:color w:val="000000" w:themeColor="text1"/>
        </w:rPr>
        <w:t>France et Transitions Pro Hauts</w:t>
      </w:r>
      <w:r>
        <w:rPr>
          <w:rFonts w:ascii="Barlow" w:hAnsi="Barlow" w:cs="Calibri"/>
          <w:color w:val="000000" w:themeColor="text1"/>
        </w:rPr>
        <w:t>-</w:t>
      </w:r>
      <w:r w:rsidRPr="0025454C">
        <w:rPr>
          <w:rFonts w:ascii="Barlow" w:hAnsi="Barlow" w:cs="Calibri"/>
          <w:color w:val="000000" w:themeColor="text1"/>
        </w:rPr>
        <w:t>de</w:t>
      </w:r>
      <w:r>
        <w:rPr>
          <w:rFonts w:ascii="Barlow" w:hAnsi="Barlow" w:cs="Calibri"/>
          <w:color w:val="000000" w:themeColor="text1"/>
        </w:rPr>
        <w:t>-</w:t>
      </w:r>
      <w:r w:rsidRPr="0025454C">
        <w:rPr>
          <w:rFonts w:ascii="Barlow" w:hAnsi="Barlow" w:cs="Calibri"/>
          <w:color w:val="000000" w:themeColor="text1"/>
        </w:rPr>
        <w:t>France</w:t>
      </w:r>
      <w:r w:rsidRPr="0025454C">
        <w:rPr>
          <w:rFonts w:ascii="Times New Roman" w:hAnsi="Times New Roman" w:cs="Times New Roman"/>
          <w:color w:val="000000" w:themeColor="text1"/>
        </w:rPr>
        <w:t> </w:t>
      </w:r>
      <w:r w:rsidRPr="0025454C">
        <w:rPr>
          <w:rFonts w:ascii="Barlow" w:hAnsi="Barlow" w:cs="Calibri"/>
          <w:color w:val="000000" w:themeColor="text1"/>
        </w:rPr>
        <w:t>entretiennent des relations étroites </w:t>
      </w:r>
      <w:r w:rsidR="00416EF6">
        <w:rPr>
          <w:rFonts w:ascii="Barlow" w:hAnsi="Barlow" w:cs="Calibri"/>
          <w:color w:val="000000" w:themeColor="text1"/>
        </w:rPr>
        <w:t>pour faciliter l’accès des publics salariés au</w:t>
      </w:r>
      <w:r w:rsidRPr="0025454C">
        <w:rPr>
          <w:rFonts w:ascii="Barlow" w:hAnsi="Barlow" w:cs="Calibri"/>
          <w:color w:val="000000" w:themeColor="text1"/>
        </w:rPr>
        <w:t> </w:t>
      </w:r>
      <w:r>
        <w:rPr>
          <w:rFonts w:ascii="Barlow" w:hAnsi="Barlow" w:cs="Calibri"/>
          <w:color w:val="000000" w:themeColor="text1"/>
        </w:rPr>
        <w:t>C</w:t>
      </w:r>
      <w:r w:rsidRPr="0025454C">
        <w:rPr>
          <w:rFonts w:ascii="Barlow" w:hAnsi="Barlow" w:cs="Calibri"/>
          <w:color w:val="000000" w:themeColor="text1"/>
        </w:rPr>
        <w:t xml:space="preserve">onseil en </w:t>
      </w:r>
      <w:r w:rsidRPr="008F1451">
        <w:rPr>
          <w:rFonts w:ascii="Barlow" w:hAnsi="Barlow" w:cs="Calibri"/>
          <w:color w:val="000000" w:themeColor="text1"/>
        </w:rPr>
        <w:t>É</w:t>
      </w:r>
      <w:r w:rsidRPr="0025454C">
        <w:rPr>
          <w:rFonts w:ascii="Barlow" w:hAnsi="Barlow" w:cs="Calibri"/>
          <w:color w:val="000000" w:themeColor="text1"/>
        </w:rPr>
        <w:t>volution</w:t>
      </w:r>
      <w:r w:rsidR="00416EF6">
        <w:rPr>
          <w:rFonts w:ascii="Barlow" w:hAnsi="Barlow" w:cs="Calibri"/>
          <w:color w:val="000000" w:themeColor="text1"/>
        </w:rPr>
        <w:t xml:space="preserve"> P</w:t>
      </w:r>
      <w:r w:rsidRPr="0025454C">
        <w:rPr>
          <w:rFonts w:ascii="Barlow" w:hAnsi="Barlow" w:cs="Calibri"/>
          <w:color w:val="000000" w:themeColor="text1"/>
        </w:rPr>
        <w:t xml:space="preserve">rofessionnelle (CEP), partager </w:t>
      </w:r>
      <w:r w:rsidR="00416EF6">
        <w:rPr>
          <w:rFonts w:ascii="Barlow" w:hAnsi="Barlow" w:cs="Calibri"/>
          <w:color w:val="000000" w:themeColor="text1"/>
        </w:rPr>
        <w:t>leurs</w:t>
      </w:r>
      <w:r w:rsidRPr="0025454C">
        <w:rPr>
          <w:rFonts w:ascii="Barlow" w:hAnsi="Barlow" w:cs="Calibri"/>
          <w:color w:val="000000" w:themeColor="text1"/>
        </w:rPr>
        <w:t xml:space="preserve"> offres de </w:t>
      </w:r>
      <w:r w:rsidRPr="0025454C">
        <w:rPr>
          <w:rFonts w:ascii="Barlow" w:hAnsi="Barlow" w:cs="Calibri"/>
          <w:color w:val="000000" w:themeColor="text1"/>
        </w:rPr>
        <w:lastRenderedPageBreak/>
        <w:t>services </w:t>
      </w:r>
      <w:r w:rsidR="00416EF6">
        <w:rPr>
          <w:rFonts w:ascii="Barlow" w:hAnsi="Barlow" w:cs="Calibri"/>
          <w:color w:val="000000" w:themeColor="text1"/>
        </w:rPr>
        <w:t xml:space="preserve">respectives et </w:t>
      </w:r>
      <w:r w:rsidRPr="0025454C">
        <w:rPr>
          <w:rFonts w:ascii="Barlow" w:hAnsi="Barlow" w:cs="Calibri"/>
          <w:color w:val="000000" w:themeColor="text1"/>
        </w:rPr>
        <w:t xml:space="preserve">assurer des interventions croisées </w:t>
      </w:r>
      <w:r w:rsidR="00416EF6">
        <w:rPr>
          <w:rFonts w:ascii="Barlow" w:hAnsi="Barlow" w:cs="Calibri"/>
          <w:color w:val="000000" w:themeColor="text1"/>
        </w:rPr>
        <w:t xml:space="preserve">pour permettre aux </w:t>
      </w:r>
      <w:r w:rsidRPr="0025454C">
        <w:rPr>
          <w:rFonts w:ascii="Barlow" w:hAnsi="Barlow" w:cs="Calibri"/>
          <w:color w:val="000000" w:themeColor="text1"/>
        </w:rPr>
        <w:t>collaborateurs des deux structures</w:t>
      </w:r>
      <w:r w:rsidR="00416EF6">
        <w:rPr>
          <w:rFonts w:ascii="Barlow" w:hAnsi="Barlow" w:cs="Calibri"/>
          <w:color w:val="000000" w:themeColor="text1"/>
        </w:rPr>
        <w:t xml:space="preserve"> de bien s’articuler.</w:t>
      </w:r>
    </w:p>
    <w:p w14:paraId="5D4E98AE" w14:textId="77777777" w:rsidR="0049762A" w:rsidRPr="0025454C" w:rsidRDefault="0049762A" w:rsidP="0049762A">
      <w:pPr>
        <w:shd w:val="clear" w:color="auto" w:fill="FFFFFF"/>
        <w:rPr>
          <w:rFonts w:ascii="Barlow" w:hAnsi="Barlow" w:cs="Calibri"/>
          <w:color w:val="000000" w:themeColor="text1"/>
        </w:rPr>
      </w:pPr>
    </w:p>
    <w:p w14:paraId="2B4431F0" w14:textId="384948FC" w:rsidR="0049762A" w:rsidRPr="008F1451" w:rsidRDefault="00416EF6" w:rsidP="0049762A">
      <w:pPr>
        <w:shd w:val="clear" w:color="auto" w:fill="FFFFFF"/>
        <w:rPr>
          <w:rFonts w:ascii="Barlow" w:hAnsi="Barlow" w:cs="Calibri"/>
          <w:color w:val="000000" w:themeColor="text1"/>
        </w:rPr>
      </w:pPr>
      <w:r>
        <w:rPr>
          <w:rFonts w:ascii="Barlow" w:hAnsi="Barlow" w:cs="Calibri"/>
          <w:color w:val="000000" w:themeColor="text1"/>
        </w:rPr>
        <w:t xml:space="preserve">La convention de </w:t>
      </w:r>
      <w:r w:rsidR="0049762A">
        <w:rPr>
          <w:rFonts w:ascii="Barlow" w:hAnsi="Barlow" w:cs="Calibri"/>
          <w:color w:val="000000" w:themeColor="text1"/>
        </w:rPr>
        <w:t>partenariat</w:t>
      </w:r>
      <w:r>
        <w:rPr>
          <w:rFonts w:ascii="Barlow" w:hAnsi="Barlow" w:cs="Calibri"/>
          <w:color w:val="000000" w:themeColor="text1"/>
        </w:rPr>
        <w:t xml:space="preserve"> signée entre les deux structures </w:t>
      </w:r>
      <w:r w:rsidR="0049762A">
        <w:rPr>
          <w:rFonts w:ascii="Barlow" w:hAnsi="Barlow" w:cs="Calibri"/>
          <w:color w:val="000000" w:themeColor="text1"/>
        </w:rPr>
        <w:t>engage à</w:t>
      </w:r>
      <w:r w:rsidR="0049762A" w:rsidRPr="0025454C">
        <w:rPr>
          <w:rFonts w:ascii="Barlow" w:hAnsi="Barlow" w:cs="Calibri"/>
          <w:color w:val="000000" w:themeColor="text1"/>
        </w:rPr>
        <w:t xml:space="preserve"> </w:t>
      </w:r>
      <w:r w:rsidR="0049762A">
        <w:rPr>
          <w:rFonts w:ascii="Barlow" w:hAnsi="Barlow" w:cs="Calibri"/>
          <w:color w:val="000000" w:themeColor="text1"/>
        </w:rPr>
        <w:t xml:space="preserve">poursuivre </w:t>
      </w:r>
      <w:r>
        <w:rPr>
          <w:rFonts w:ascii="Barlow" w:hAnsi="Barlow" w:cs="Calibri"/>
          <w:color w:val="000000" w:themeColor="text1"/>
        </w:rPr>
        <w:t>la</w:t>
      </w:r>
      <w:r w:rsidR="0049762A">
        <w:rPr>
          <w:rFonts w:ascii="Barlow" w:hAnsi="Barlow" w:cs="Calibri"/>
          <w:color w:val="000000" w:themeColor="text1"/>
        </w:rPr>
        <w:t xml:space="preserve"> collaboration </w:t>
      </w:r>
      <w:r>
        <w:rPr>
          <w:rFonts w:ascii="Barlow" w:hAnsi="Barlow" w:cs="Calibri"/>
          <w:color w:val="000000" w:themeColor="text1"/>
        </w:rPr>
        <w:t>et à</w:t>
      </w:r>
      <w:r w:rsidR="0049762A" w:rsidRPr="0025454C">
        <w:rPr>
          <w:rFonts w:ascii="Barlow" w:hAnsi="Barlow" w:cs="Calibri"/>
          <w:color w:val="000000" w:themeColor="text1"/>
        </w:rPr>
        <w:t xml:space="preserve"> coordonn</w:t>
      </w:r>
      <w:r w:rsidR="0049762A">
        <w:rPr>
          <w:rFonts w:ascii="Barlow" w:hAnsi="Barlow" w:cs="Calibri"/>
          <w:color w:val="000000" w:themeColor="text1"/>
        </w:rPr>
        <w:t>er</w:t>
      </w:r>
      <w:r w:rsidR="0049762A" w:rsidRPr="0025454C">
        <w:rPr>
          <w:rFonts w:ascii="Barlow" w:hAnsi="Barlow" w:cs="Calibri"/>
          <w:color w:val="000000" w:themeColor="text1"/>
        </w:rPr>
        <w:t xml:space="preserve"> </w:t>
      </w:r>
      <w:r>
        <w:rPr>
          <w:rFonts w:ascii="Barlow" w:hAnsi="Barlow" w:cs="Calibri"/>
          <w:color w:val="000000" w:themeColor="text1"/>
        </w:rPr>
        <w:t>les</w:t>
      </w:r>
      <w:r w:rsidR="0049762A" w:rsidRPr="0025454C">
        <w:rPr>
          <w:rFonts w:ascii="Barlow" w:hAnsi="Barlow" w:cs="Calibri"/>
          <w:color w:val="000000" w:themeColor="text1"/>
        </w:rPr>
        <w:t xml:space="preserve"> offres de services en menant des actions conjointes, </w:t>
      </w:r>
      <w:r w:rsidR="0049762A">
        <w:rPr>
          <w:rFonts w:ascii="Barlow" w:hAnsi="Barlow" w:cs="Calibri"/>
          <w:color w:val="000000" w:themeColor="text1"/>
        </w:rPr>
        <w:t xml:space="preserve">au bénéficie de l’accompagnement des actifs </w:t>
      </w:r>
      <w:r>
        <w:rPr>
          <w:rFonts w:ascii="Barlow" w:hAnsi="Barlow" w:cs="Calibri"/>
          <w:color w:val="000000" w:themeColor="text1"/>
        </w:rPr>
        <w:t xml:space="preserve">salariés </w:t>
      </w:r>
      <w:r w:rsidR="0049762A">
        <w:rPr>
          <w:rFonts w:ascii="Barlow" w:hAnsi="Barlow" w:cs="Calibri"/>
          <w:color w:val="000000" w:themeColor="text1"/>
        </w:rPr>
        <w:t>de la région.</w:t>
      </w:r>
    </w:p>
    <w:p w14:paraId="723C9F26" w14:textId="77777777" w:rsidR="0049762A" w:rsidRPr="00F014BC" w:rsidRDefault="0049762A" w:rsidP="0049762A">
      <w:pPr>
        <w:shd w:val="clear" w:color="auto" w:fill="FFFFFF"/>
        <w:jc w:val="both"/>
        <w:rPr>
          <w:rFonts w:ascii="Barlow" w:hAnsi="Barlow" w:cs="Calibri"/>
          <w:b/>
          <w:color w:val="00A8A9"/>
        </w:rPr>
      </w:pPr>
    </w:p>
    <w:p w14:paraId="1AB26247" w14:textId="77777777" w:rsidR="0049762A" w:rsidRPr="00F014BC" w:rsidRDefault="0049762A" w:rsidP="0049762A">
      <w:pPr>
        <w:shd w:val="clear" w:color="auto" w:fill="FFFFFF"/>
        <w:jc w:val="both"/>
        <w:rPr>
          <w:rFonts w:ascii="Barlow" w:hAnsi="Barlow" w:cs="Calibri"/>
          <w:sz w:val="20"/>
          <w:szCs w:val="20"/>
        </w:rPr>
      </w:pPr>
    </w:p>
    <w:p w14:paraId="4870FFCE" w14:textId="77777777" w:rsidR="0049762A" w:rsidRPr="00F014BC" w:rsidRDefault="0049762A" w:rsidP="0049762A">
      <w:pPr>
        <w:rPr>
          <w:rFonts w:ascii="Barlow Black" w:hAnsi="Barlow Black" w:cs="Calibri"/>
          <w:b/>
          <w:i/>
          <w:color w:val="00A8A9"/>
          <w:sz w:val="32"/>
          <w:szCs w:val="32"/>
          <w:shd w:val="clear" w:color="auto" w:fill="FFFFFF"/>
        </w:rPr>
      </w:pPr>
      <w:r w:rsidRPr="00F014BC">
        <w:rPr>
          <w:rFonts w:ascii="Barlow Black" w:hAnsi="Barlow Black" w:cs="Calibri"/>
          <w:b/>
          <w:i/>
          <w:color w:val="00A8A9"/>
          <w:sz w:val="32"/>
          <w:szCs w:val="32"/>
          <w:shd w:val="clear" w:color="auto" w:fill="FFFFFF"/>
        </w:rPr>
        <w:t>À propos de Transitions Pro Hauts-de-France</w:t>
      </w:r>
    </w:p>
    <w:p w14:paraId="32125CA6" w14:textId="77777777" w:rsidR="0049762A" w:rsidRDefault="0049762A" w:rsidP="0049762A">
      <w:pPr>
        <w:rPr>
          <w:rFonts w:ascii="Barlow" w:hAnsi="Barlow" w:cs="Calibri"/>
          <w:color w:val="000000" w:themeColor="text1"/>
          <w:sz w:val="22"/>
          <w:szCs w:val="22"/>
          <w:shd w:val="clear" w:color="auto" w:fill="FFFFFF"/>
        </w:rPr>
      </w:pPr>
    </w:p>
    <w:p w14:paraId="05792BD8" w14:textId="682D9039" w:rsidR="0049762A" w:rsidRDefault="0049762A" w:rsidP="0049762A">
      <w:pPr>
        <w:rPr>
          <w:rFonts w:ascii="Barlow" w:hAnsi="Barlow" w:cs="Calibri"/>
          <w:color w:val="000000" w:themeColor="text1"/>
          <w:sz w:val="22"/>
          <w:szCs w:val="22"/>
          <w:shd w:val="clear" w:color="auto" w:fill="FFFFFF"/>
        </w:rPr>
      </w:pPr>
      <w:r w:rsidRPr="00F014BC">
        <w:rPr>
          <w:rFonts w:ascii="Barlow" w:hAnsi="Barlow" w:cs="Calibri"/>
          <w:color w:val="000000" w:themeColor="text1"/>
          <w:sz w:val="22"/>
          <w:szCs w:val="22"/>
          <w:shd w:val="clear" w:color="auto" w:fill="FFFFFF"/>
        </w:rPr>
        <w:t>Transitions Pro Hauts-de-France, association paritaire agréée par l’Etat, assure l</w:t>
      </w:r>
      <w:r w:rsidR="00416EF6">
        <w:rPr>
          <w:rFonts w:ascii="Barlow" w:hAnsi="Barlow" w:cs="Calibri"/>
          <w:color w:val="000000" w:themeColor="text1"/>
          <w:sz w:val="22"/>
          <w:szCs w:val="22"/>
          <w:shd w:val="clear" w:color="auto" w:fill="FFFFFF"/>
        </w:rPr>
        <w:t>’instruction et le financement et la</w:t>
      </w:r>
      <w:r w:rsidRPr="00F014BC">
        <w:rPr>
          <w:rFonts w:ascii="Barlow" w:hAnsi="Barlow" w:cs="Calibri"/>
          <w:color w:val="000000" w:themeColor="text1"/>
          <w:sz w:val="22"/>
          <w:szCs w:val="22"/>
          <w:shd w:val="clear" w:color="auto" w:fill="FFFFFF"/>
        </w:rPr>
        <w:t xml:space="preserve"> gestion des Projets de Transition Professionnelle des salariés, vérifie le caractère réel et sérieux des projets de reconversion des démissionnaires pouvant bénéficier de l’assurance chômage, promeut et déploie la certification CléA®, finance la Validation des Acquis et de l’Expérience, participe à la mise en œuvre du dispositif Transitions collectives et </w:t>
      </w:r>
      <w:r w:rsidR="00416EF6">
        <w:rPr>
          <w:rFonts w:ascii="Barlow" w:hAnsi="Barlow" w:cs="Calibri"/>
          <w:color w:val="000000" w:themeColor="text1"/>
          <w:sz w:val="22"/>
          <w:szCs w:val="22"/>
          <w:shd w:val="clear" w:color="auto" w:fill="FFFFFF"/>
        </w:rPr>
        <w:t xml:space="preserve">en </w:t>
      </w:r>
      <w:r w:rsidRPr="00F014BC">
        <w:rPr>
          <w:rFonts w:ascii="Barlow" w:hAnsi="Barlow" w:cs="Calibri"/>
          <w:color w:val="000000" w:themeColor="text1"/>
          <w:sz w:val="22"/>
          <w:szCs w:val="22"/>
          <w:shd w:val="clear" w:color="auto" w:fill="FFFFFF"/>
        </w:rPr>
        <w:t>assure l</w:t>
      </w:r>
      <w:r w:rsidR="00416EF6">
        <w:rPr>
          <w:rFonts w:ascii="Barlow" w:hAnsi="Barlow" w:cs="Calibri"/>
          <w:color w:val="000000" w:themeColor="text1"/>
          <w:sz w:val="22"/>
          <w:szCs w:val="22"/>
          <w:shd w:val="clear" w:color="auto" w:fill="FFFFFF"/>
        </w:rPr>
        <w:t xml:space="preserve">’instruction et la </w:t>
      </w:r>
      <w:r w:rsidRPr="00F014BC">
        <w:rPr>
          <w:rFonts w:ascii="Barlow" w:hAnsi="Barlow" w:cs="Calibri"/>
          <w:color w:val="000000" w:themeColor="text1"/>
          <w:sz w:val="22"/>
          <w:szCs w:val="22"/>
          <w:shd w:val="clear" w:color="auto" w:fill="FFFFFF"/>
        </w:rPr>
        <w:t>gestion.</w:t>
      </w:r>
    </w:p>
    <w:p w14:paraId="1493A14A" w14:textId="77777777" w:rsidR="0049762A" w:rsidRPr="00F014BC" w:rsidRDefault="0049762A" w:rsidP="0049762A">
      <w:pPr>
        <w:rPr>
          <w:rFonts w:ascii="Barlow" w:hAnsi="Barlow" w:cs="Calibri"/>
          <w:b/>
          <w:color w:val="00A8A9"/>
          <w:sz w:val="22"/>
          <w:szCs w:val="22"/>
          <w:shd w:val="clear" w:color="auto" w:fill="FFFFFF"/>
        </w:rPr>
      </w:pPr>
      <w:r w:rsidRPr="00F014BC">
        <w:rPr>
          <w:rFonts w:ascii="Barlow" w:hAnsi="Barlow" w:cs="Calibri"/>
          <w:color w:val="000000" w:themeColor="text1"/>
          <w:sz w:val="22"/>
          <w:szCs w:val="22"/>
          <w:shd w:val="clear" w:color="auto" w:fill="FFFFFF"/>
        </w:rPr>
        <w:br/>
        <w:t>Avec ses 5 agences (Lille, Amiens, Arras, St-Omer et Valenciennes) et au service des entreprises et des salariés du territoire, l’association a par ailleurs pour missions d’assurer : l’information du public sur les opérateurs du conseil en évolution professionnelle ; le suivi de la mise en œuvre du CEP sur le territoire régional ; l’analyse des besoins en emploi, en compétences et en qualification sur le territoire et l’élaboration des partenariats régionaux ; une veille sur la qualité des formations financées dans le cadre des Projets de Transition Professionnelle.</w:t>
      </w:r>
      <w:r>
        <w:rPr>
          <w:rFonts w:ascii="Barlow" w:hAnsi="Barlow" w:cs="Calibri"/>
          <w:color w:val="000000" w:themeColor="text1"/>
          <w:sz w:val="22"/>
          <w:szCs w:val="22"/>
          <w:shd w:val="clear" w:color="auto" w:fill="FFFFFF"/>
        </w:rPr>
        <w:t xml:space="preserve"> </w:t>
      </w:r>
      <w:r w:rsidRPr="00F014BC">
        <w:rPr>
          <w:rFonts w:ascii="Barlow SemiBold" w:hAnsi="Barlow SemiBold" w:cs="Calibri"/>
          <w:b/>
          <w:color w:val="00A8A9"/>
          <w:sz w:val="22"/>
          <w:szCs w:val="22"/>
          <w:shd w:val="clear" w:color="auto" w:fill="FFFFFF"/>
        </w:rPr>
        <w:t xml:space="preserve">En savoir plus : </w:t>
      </w:r>
      <w:hyperlink r:id="rId8" w:history="1">
        <w:r w:rsidRPr="00F014BC">
          <w:rPr>
            <w:rFonts w:ascii="Barlow SemiBold" w:hAnsi="Barlow SemiBold" w:cs="Calibri"/>
            <w:b/>
            <w:color w:val="00A8A9"/>
            <w:sz w:val="22"/>
            <w:szCs w:val="22"/>
            <w:shd w:val="clear" w:color="auto" w:fill="FFFFFF"/>
          </w:rPr>
          <w:t>transitionspro-hdf.fr</w:t>
        </w:r>
      </w:hyperlink>
    </w:p>
    <w:p w14:paraId="7E9F409D" w14:textId="77777777" w:rsidR="0049762A" w:rsidRPr="00F014BC" w:rsidRDefault="0049762A" w:rsidP="0049762A">
      <w:pPr>
        <w:rPr>
          <w:rFonts w:ascii="Barlow" w:hAnsi="Barlow" w:cs="Calibri"/>
          <w:b/>
          <w:color w:val="00A8A9"/>
          <w:sz w:val="20"/>
          <w:szCs w:val="20"/>
          <w:shd w:val="clear" w:color="auto" w:fill="FFFFFF"/>
        </w:rPr>
      </w:pPr>
    </w:p>
    <w:p w14:paraId="3E7EB1BC" w14:textId="77777777" w:rsidR="0049762A" w:rsidRPr="00F014BC" w:rsidRDefault="0049762A" w:rsidP="0049762A">
      <w:pPr>
        <w:rPr>
          <w:rFonts w:ascii="Barlow" w:hAnsi="Barlow" w:cs="Calibri"/>
          <w:color w:val="000000" w:themeColor="text1"/>
          <w:sz w:val="20"/>
          <w:szCs w:val="20"/>
          <w:shd w:val="clear" w:color="auto" w:fill="FFFFFF"/>
        </w:rPr>
      </w:pPr>
    </w:p>
    <w:p w14:paraId="1D7545F3" w14:textId="77777777" w:rsidR="0049762A" w:rsidRPr="006B7F24" w:rsidRDefault="0049762A" w:rsidP="0049762A">
      <w:pPr>
        <w:rPr>
          <w:rFonts w:ascii="Times New Roman" w:eastAsia="Times New Roman" w:hAnsi="Times New Roman" w:cs="Times New Roman"/>
          <w:lang w:eastAsia="fr-FR"/>
        </w:rPr>
      </w:pPr>
      <w:r w:rsidRPr="00F014BC">
        <w:rPr>
          <w:rFonts w:ascii="Barlow Black" w:hAnsi="Barlow Black" w:cs="Calibri"/>
          <w:b/>
          <w:i/>
          <w:color w:val="00A8A9"/>
          <w:sz w:val="32"/>
          <w:szCs w:val="32"/>
          <w:shd w:val="clear" w:color="auto" w:fill="FFFFFF"/>
        </w:rPr>
        <w:t xml:space="preserve">À propos de </w:t>
      </w:r>
      <w:r>
        <w:rPr>
          <w:rFonts w:ascii="Barlow Black" w:hAnsi="Barlow Black" w:cs="Calibri"/>
          <w:b/>
          <w:i/>
          <w:color w:val="00A8A9"/>
          <w:sz w:val="32"/>
          <w:szCs w:val="32"/>
          <w:shd w:val="clear" w:color="auto" w:fill="FFFFFF"/>
        </w:rPr>
        <w:t xml:space="preserve">Groupement </w:t>
      </w:r>
      <w:r w:rsidRPr="006B7F24">
        <w:rPr>
          <w:rFonts w:ascii="Barlow Black" w:hAnsi="Barlow Black" w:cs="Calibri"/>
          <w:b/>
          <w:i/>
          <w:color w:val="00A8A9"/>
          <w:sz w:val="32"/>
          <w:szCs w:val="32"/>
          <w:shd w:val="clear" w:color="auto" w:fill="FFFFFF"/>
        </w:rPr>
        <w:t>Évolution</w:t>
      </w:r>
    </w:p>
    <w:p w14:paraId="37094E26" w14:textId="77777777" w:rsidR="0049762A" w:rsidRDefault="0049762A" w:rsidP="0049762A">
      <w:pPr>
        <w:rPr>
          <w:rFonts w:ascii="Barlow" w:hAnsi="Barlow"/>
          <w:color w:val="000000" w:themeColor="text1"/>
          <w:sz w:val="22"/>
          <w:szCs w:val="22"/>
        </w:rPr>
      </w:pPr>
      <w:r>
        <w:rPr>
          <w:rFonts w:ascii="Barlow" w:hAnsi="Barlow"/>
          <w:color w:val="000000" w:themeColor="text1"/>
          <w:sz w:val="22"/>
          <w:szCs w:val="22"/>
        </w:rPr>
        <w:br/>
      </w:r>
      <w:r w:rsidRPr="006B7F24">
        <w:rPr>
          <w:rFonts w:ascii="Barlow" w:hAnsi="Barlow"/>
          <w:color w:val="000000" w:themeColor="text1"/>
          <w:sz w:val="22"/>
          <w:szCs w:val="22"/>
        </w:rPr>
        <w:t>Le Groupement Évolution est le fruit d’une collaboration de plusieurs années sur les marchés publics entre l’opérateur TINGARI et ses cotraitants : ID Formation, INSTEP et CREFO.</w:t>
      </w:r>
    </w:p>
    <w:p w14:paraId="7B07DD98" w14:textId="77777777" w:rsidR="0049762A" w:rsidRDefault="0049762A" w:rsidP="0049762A">
      <w:pPr>
        <w:rPr>
          <w:rFonts w:ascii="Barlow" w:hAnsi="Barlow"/>
          <w:color w:val="000000" w:themeColor="text1"/>
          <w:sz w:val="22"/>
          <w:szCs w:val="22"/>
        </w:rPr>
      </w:pPr>
      <w:r>
        <w:rPr>
          <w:rFonts w:ascii="Barlow" w:hAnsi="Barlow"/>
          <w:color w:val="000000" w:themeColor="text1"/>
          <w:sz w:val="22"/>
          <w:szCs w:val="22"/>
        </w:rPr>
        <w:t>Réparti sur l’ensemble du territoire, il est chargé de délivrer le Conseil en Évolution Professionnelle, auprès des actifs de la région, afin de </w:t>
      </w:r>
      <w:r w:rsidRPr="006B7F24">
        <w:rPr>
          <w:rFonts w:ascii="Barlow" w:hAnsi="Barlow"/>
          <w:color w:val="000000" w:themeColor="text1"/>
          <w:sz w:val="22"/>
          <w:szCs w:val="22"/>
        </w:rPr>
        <w:t xml:space="preserve">faire le point sur </w:t>
      </w:r>
      <w:r>
        <w:rPr>
          <w:rFonts w:ascii="Barlow" w:hAnsi="Barlow"/>
          <w:color w:val="000000" w:themeColor="text1"/>
          <w:sz w:val="22"/>
          <w:szCs w:val="22"/>
        </w:rPr>
        <w:t>leur</w:t>
      </w:r>
      <w:r w:rsidRPr="006B7F24">
        <w:rPr>
          <w:rFonts w:ascii="Barlow" w:hAnsi="Barlow"/>
          <w:color w:val="000000" w:themeColor="text1"/>
          <w:sz w:val="22"/>
          <w:szCs w:val="22"/>
        </w:rPr>
        <w:t xml:space="preserve"> situation professionnelle, et, le cas échéant, élaborer, formaliser et mettre en œuvre une stratégie visant l’évolution professionnelle.</w:t>
      </w:r>
      <w:r>
        <w:rPr>
          <w:rFonts w:ascii="Barlow" w:hAnsi="Barlow"/>
          <w:color w:val="000000" w:themeColor="text1"/>
          <w:sz w:val="22"/>
          <w:szCs w:val="22"/>
        </w:rPr>
        <w:br/>
      </w:r>
      <w:r>
        <w:rPr>
          <w:rFonts w:ascii="Barlow" w:hAnsi="Barlow"/>
          <w:color w:val="000000" w:themeColor="text1"/>
          <w:sz w:val="22"/>
          <w:szCs w:val="22"/>
        </w:rPr>
        <w:br/>
      </w:r>
      <w:r w:rsidRPr="006B7F24">
        <w:rPr>
          <w:rFonts w:ascii="Barlow" w:hAnsi="Barlow"/>
          <w:color w:val="000000" w:themeColor="text1"/>
          <w:sz w:val="22"/>
          <w:szCs w:val="22"/>
        </w:rPr>
        <w:t xml:space="preserve">Il prend la forme d’une offre de service gratuite, accessible à </w:t>
      </w:r>
      <w:r>
        <w:rPr>
          <w:rFonts w:ascii="Barlow" w:hAnsi="Barlow"/>
          <w:color w:val="000000" w:themeColor="text1"/>
          <w:sz w:val="22"/>
          <w:szCs w:val="22"/>
        </w:rPr>
        <w:t>tous</w:t>
      </w:r>
      <w:r w:rsidRPr="006B7F24">
        <w:rPr>
          <w:rFonts w:ascii="Barlow" w:hAnsi="Barlow"/>
          <w:color w:val="000000" w:themeColor="text1"/>
          <w:sz w:val="22"/>
          <w:szCs w:val="22"/>
        </w:rPr>
        <w:t>, indépendamment de son âge, de son secteur d’activité, de son statut et de sa qualification. Il contribue, tout au long de la vie de la personne à améliorer sa capacité à faire ses propres choix professionnels et à évoluer, notamment par l’accroissement de ses aptitudes, le développement de ses compétences, et l’accès à de nouvelles qualifications professionnelles</w:t>
      </w:r>
      <w:r>
        <w:rPr>
          <w:rFonts w:ascii="Barlow" w:hAnsi="Barlow"/>
          <w:color w:val="000000" w:themeColor="text1"/>
          <w:sz w:val="22"/>
          <w:szCs w:val="22"/>
        </w:rPr>
        <w:t>.</w:t>
      </w:r>
    </w:p>
    <w:p w14:paraId="77CD0F98" w14:textId="77777777" w:rsidR="0049762A" w:rsidRDefault="0049762A" w:rsidP="0049762A">
      <w:pPr>
        <w:rPr>
          <w:rFonts w:ascii="Barlow" w:hAnsi="Barlow"/>
          <w:color w:val="000000" w:themeColor="text1"/>
          <w:sz w:val="22"/>
          <w:szCs w:val="22"/>
        </w:rPr>
      </w:pPr>
      <w:r w:rsidRPr="00AA00E3">
        <w:rPr>
          <w:rFonts w:ascii="Barlow" w:hAnsi="Barlow"/>
          <w:color w:val="000000" w:themeColor="text1"/>
          <w:sz w:val="22"/>
          <w:szCs w:val="22"/>
        </w:rPr>
        <w:t>Le service est assuré</w:t>
      </w:r>
      <w:r>
        <w:rPr>
          <w:rFonts w:ascii="Barlow" w:hAnsi="Barlow"/>
          <w:color w:val="000000" w:themeColor="text1"/>
          <w:sz w:val="22"/>
          <w:szCs w:val="22"/>
        </w:rPr>
        <w:t xml:space="preserve"> par une équipe de chargé(e)s d’information en charge de </w:t>
      </w:r>
      <w:r w:rsidRPr="00F41FC3">
        <w:rPr>
          <w:rFonts w:ascii="Barlow" w:hAnsi="Barlow"/>
          <w:color w:val="000000" w:themeColor="text1"/>
          <w:sz w:val="22"/>
          <w:szCs w:val="22"/>
        </w:rPr>
        <w:t>l’aiguillage</w:t>
      </w:r>
      <w:r>
        <w:rPr>
          <w:rFonts w:ascii="Barlow" w:hAnsi="Barlow"/>
          <w:color w:val="000000" w:themeColor="text1"/>
          <w:sz w:val="22"/>
          <w:szCs w:val="22"/>
        </w:rPr>
        <w:t xml:space="preserve"> du public, et de conseiller(e)s en évolution professionnelle délivrant un conseil et un accompagnement personnalisés. Les équipes sont réparties </w:t>
      </w:r>
      <w:r w:rsidRPr="00AA00E3">
        <w:rPr>
          <w:rFonts w:ascii="Barlow" w:hAnsi="Barlow"/>
          <w:color w:val="000000" w:themeColor="text1"/>
          <w:sz w:val="22"/>
          <w:szCs w:val="22"/>
        </w:rPr>
        <w:t xml:space="preserve">sur 30 sites sur le territoire, et </w:t>
      </w:r>
      <w:r>
        <w:rPr>
          <w:rFonts w:ascii="Barlow" w:hAnsi="Barlow"/>
          <w:color w:val="000000" w:themeColor="text1"/>
          <w:sz w:val="22"/>
          <w:szCs w:val="22"/>
        </w:rPr>
        <w:t xml:space="preserve">délivrent également leurs services </w:t>
      </w:r>
      <w:r w:rsidRPr="00AA00E3">
        <w:rPr>
          <w:rFonts w:ascii="Barlow" w:hAnsi="Barlow"/>
          <w:color w:val="000000" w:themeColor="text1"/>
          <w:sz w:val="22"/>
          <w:szCs w:val="22"/>
        </w:rPr>
        <w:t>à distance</w:t>
      </w:r>
      <w:r>
        <w:rPr>
          <w:rFonts w:ascii="Barlow" w:hAnsi="Barlow"/>
          <w:color w:val="000000" w:themeColor="text1"/>
          <w:sz w:val="22"/>
          <w:szCs w:val="22"/>
        </w:rPr>
        <w:t>,</w:t>
      </w:r>
      <w:r w:rsidRPr="00AA00E3">
        <w:rPr>
          <w:rFonts w:ascii="Barlow" w:hAnsi="Barlow"/>
          <w:color w:val="000000" w:themeColor="text1"/>
          <w:sz w:val="22"/>
          <w:szCs w:val="22"/>
        </w:rPr>
        <w:t xml:space="preserve"> selon les souhaits des bénéfici</w:t>
      </w:r>
      <w:r>
        <w:rPr>
          <w:rFonts w:ascii="Barlow" w:hAnsi="Barlow"/>
          <w:color w:val="000000" w:themeColor="text1"/>
          <w:sz w:val="22"/>
          <w:szCs w:val="22"/>
        </w:rPr>
        <w:t>aires.</w:t>
      </w:r>
    </w:p>
    <w:p w14:paraId="10DC3255" w14:textId="77777777" w:rsidR="0049762A" w:rsidRDefault="0049762A" w:rsidP="0049762A">
      <w:pPr>
        <w:rPr>
          <w:rFonts w:ascii="Barlow" w:hAnsi="Barlow"/>
          <w:color w:val="000000" w:themeColor="text1"/>
          <w:sz w:val="22"/>
          <w:szCs w:val="22"/>
        </w:rPr>
      </w:pPr>
    </w:p>
    <w:p w14:paraId="6A83A0F2" w14:textId="77777777" w:rsidR="0049762A" w:rsidRPr="00571895" w:rsidRDefault="0049762A" w:rsidP="0049762A">
      <w:pPr>
        <w:rPr>
          <w:rFonts w:ascii="Barlow Black" w:hAnsi="Barlow Black" w:cs="Calibri"/>
          <w:b/>
          <w:i/>
          <w:color w:val="00A8A9"/>
          <w:sz w:val="32"/>
          <w:szCs w:val="32"/>
          <w:shd w:val="clear" w:color="auto" w:fill="FFFFFF"/>
        </w:rPr>
      </w:pPr>
      <w:r w:rsidRPr="00F014BC">
        <w:rPr>
          <w:rFonts w:ascii="Barlow Black" w:hAnsi="Barlow Black" w:cs="Calibri"/>
          <w:b/>
          <w:i/>
          <w:color w:val="00A8A9"/>
          <w:sz w:val="32"/>
          <w:szCs w:val="32"/>
          <w:shd w:val="clear" w:color="auto" w:fill="FFFFFF"/>
        </w:rPr>
        <w:t>Contacts presse</w:t>
      </w:r>
    </w:p>
    <w:p w14:paraId="56C25B59" w14:textId="77777777" w:rsidR="0049762A" w:rsidRDefault="0049762A" w:rsidP="0049762A">
      <w:pPr>
        <w:rPr>
          <w:rFonts w:ascii="Barlow" w:hAnsi="Barlow" w:cs="Calibri"/>
          <w:color w:val="000000" w:themeColor="text1"/>
          <w:sz w:val="20"/>
          <w:szCs w:val="20"/>
          <w:shd w:val="clear" w:color="auto" w:fill="FFFFFF"/>
        </w:rPr>
      </w:pPr>
      <w:r w:rsidRPr="00F014BC">
        <w:rPr>
          <w:rFonts w:ascii="Barlow" w:hAnsi="Barlow" w:cs="Calibri"/>
          <w:color w:val="000000" w:themeColor="text1"/>
          <w:sz w:val="20"/>
          <w:szCs w:val="20"/>
          <w:shd w:val="clear" w:color="auto" w:fill="FFFFFF"/>
        </w:rPr>
        <w:t xml:space="preserve">Transition Pro Hauts-de-France : </w:t>
      </w:r>
      <w:r>
        <w:rPr>
          <w:rFonts w:ascii="Barlow" w:hAnsi="Barlow" w:cs="Calibri"/>
          <w:color w:val="000000" w:themeColor="text1"/>
          <w:sz w:val="20"/>
          <w:szCs w:val="20"/>
          <w:shd w:val="clear" w:color="auto" w:fill="FFFFFF"/>
        </w:rPr>
        <w:t>Florence Dupré </w:t>
      </w:r>
    </w:p>
    <w:p w14:paraId="793753B3" w14:textId="77777777" w:rsidR="00D60FA5" w:rsidRDefault="0049762A" w:rsidP="0049762A">
      <w:pPr>
        <w:rPr>
          <w:rStyle w:val="Lienhypertexte"/>
          <w:rFonts w:ascii="Barlow" w:hAnsi="Barlow" w:cs="Calibri"/>
          <w:sz w:val="20"/>
          <w:szCs w:val="20"/>
          <w:shd w:val="clear" w:color="auto" w:fill="FFFFFF"/>
        </w:rPr>
      </w:pPr>
      <w:r w:rsidRPr="00F014BC">
        <w:rPr>
          <w:rFonts w:ascii="Barlow" w:hAnsi="Barlow" w:cs="Calibri"/>
          <w:color w:val="000000" w:themeColor="text1"/>
          <w:sz w:val="20"/>
          <w:szCs w:val="20"/>
          <w:shd w:val="clear" w:color="auto" w:fill="FFFFFF"/>
        </w:rPr>
        <w:t>Tél.</w:t>
      </w:r>
      <w:r>
        <w:rPr>
          <w:rFonts w:ascii="Barlow" w:hAnsi="Barlow" w:cs="Calibri"/>
          <w:color w:val="000000" w:themeColor="text1"/>
          <w:sz w:val="20"/>
          <w:szCs w:val="20"/>
          <w:shd w:val="clear" w:color="auto" w:fill="FFFFFF"/>
        </w:rPr>
        <w:t xml:space="preserve"> : 07 88 80 65 79 </w:t>
      </w:r>
      <w:r w:rsidRPr="00F014BC">
        <w:rPr>
          <w:rFonts w:ascii="Barlow" w:hAnsi="Barlow" w:cs="Calibri"/>
          <w:color w:val="000000" w:themeColor="text1"/>
          <w:sz w:val="20"/>
          <w:szCs w:val="20"/>
          <w:shd w:val="clear" w:color="auto" w:fill="FFFFFF"/>
        </w:rPr>
        <w:t xml:space="preserve">– </w:t>
      </w:r>
      <w:hyperlink r:id="rId9" w:history="1">
        <w:r w:rsidRPr="00AC081B">
          <w:rPr>
            <w:rStyle w:val="Lienhypertexte"/>
            <w:rFonts w:ascii="Barlow" w:hAnsi="Barlow" w:cs="Calibri"/>
            <w:sz w:val="20"/>
            <w:szCs w:val="20"/>
            <w:shd w:val="clear" w:color="auto" w:fill="FFFFFF"/>
          </w:rPr>
          <w:t>fdupre@transitionspro-hdf.fr</w:t>
        </w:r>
      </w:hyperlink>
    </w:p>
    <w:p w14:paraId="5A92E938" w14:textId="77777777" w:rsidR="0049762A" w:rsidRDefault="0049762A" w:rsidP="0049762A"/>
    <w:p w14:paraId="5109F876" w14:textId="527DD624" w:rsidR="0049762A" w:rsidRDefault="0049762A" w:rsidP="0049762A">
      <w:pPr>
        <w:rPr>
          <w:rFonts w:ascii="Barlow" w:hAnsi="Barlow" w:cs="Calibri"/>
          <w:color w:val="000000" w:themeColor="text1"/>
          <w:sz w:val="20"/>
          <w:szCs w:val="20"/>
          <w:shd w:val="clear" w:color="auto" w:fill="FFFFFF"/>
        </w:rPr>
      </w:pPr>
      <w:r w:rsidRPr="0049762A">
        <w:rPr>
          <w:rFonts w:ascii="Barlow" w:hAnsi="Barlow" w:cs="Calibri"/>
          <w:color w:val="000000" w:themeColor="text1"/>
          <w:sz w:val="20"/>
          <w:szCs w:val="20"/>
          <w:shd w:val="clear" w:color="auto" w:fill="FFFFFF"/>
        </w:rPr>
        <w:t xml:space="preserve">Groupement </w:t>
      </w:r>
      <w:r w:rsidRPr="006B7F24">
        <w:rPr>
          <w:rFonts w:ascii="Barlow" w:hAnsi="Barlow"/>
          <w:color w:val="000000" w:themeColor="text1"/>
          <w:sz w:val="22"/>
          <w:szCs w:val="22"/>
        </w:rPr>
        <w:t>É</w:t>
      </w:r>
      <w:r w:rsidRPr="0049762A">
        <w:rPr>
          <w:rFonts w:ascii="Barlow" w:hAnsi="Barlow" w:cs="Calibri"/>
          <w:color w:val="000000" w:themeColor="text1"/>
          <w:sz w:val="20"/>
          <w:szCs w:val="20"/>
          <w:shd w:val="clear" w:color="auto" w:fill="FFFFFF"/>
        </w:rPr>
        <w:t>volution</w:t>
      </w:r>
      <w:r>
        <w:rPr>
          <w:rFonts w:ascii="Barlow" w:hAnsi="Barlow" w:cs="Calibri"/>
          <w:color w:val="000000" w:themeColor="text1"/>
          <w:sz w:val="20"/>
          <w:szCs w:val="20"/>
          <w:shd w:val="clear" w:color="auto" w:fill="FFFFFF"/>
        </w:rPr>
        <w:t xml:space="preserve"> : </w:t>
      </w:r>
      <w:r w:rsidR="00CE014E">
        <w:rPr>
          <w:rFonts w:ascii="Barlow" w:hAnsi="Barlow" w:cs="Calibri"/>
          <w:color w:val="000000" w:themeColor="text1"/>
          <w:sz w:val="20"/>
          <w:szCs w:val="20"/>
          <w:shd w:val="clear" w:color="auto" w:fill="FFFFFF"/>
        </w:rPr>
        <w:t>Enis Saoudi</w:t>
      </w:r>
    </w:p>
    <w:p w14:paraId="408CF773" w14:textId="02FC563F" w:rsidR="00CE014E" w:rsidRPr="0049762A" w:rsidRDefault="00CE014E" w:rsidP="0049762A">
      <w:pPr>
        <w:rPr>
          <w:rFonts w:ascii="Barlow" w:hAnsi="Barlow" w:cs="Calibri"/>
          <w:color w:val="000000" w:themeColor="text1"/>
          <w:sz w:val="20"/>
          <w:szCs w:val="20"/>
          <w:shd w:val="clear" w:color="auto" w:fill="FFFFFF"/>
        </w:rPr>
      </w:pPr>
      <w:r>
        <w:rPr>
          <w:rFonts w:ascii="Barlow" w:hAnsi="Barlow" w:cs="Calibri"/>
          <w:color w:val="000000" w:themeColor="text1"/>
          <w:sz w:val="20"/>
          <w:szCs w:val="20"/>
          <w:shd w:val="clear" w:color="auto" w:fill="FFFFFF"/>
        </w:rPr>
        <w:t>Tél : 06 43 52 95 21 – enis.saoudi@id-formation.fr</w:t>
      </w:r>
    </w:p>
    <w:sectPr w:rsidR="00CE014E" w:rsidRPr="0049762A" w:rsidSect="004C3AB2">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rlow Medium">
    <w:altName w:val="Calibri"/>
    <w:panose1 w:val="00000600000000000000"/>
    <w:charset w:val="4D"/>
    <w:family w:val="auto"/>
    <w:pitch w:val="variable"/>
    <w:sig w:usb0="20000007" w:usb1="00000000" w:usb2="00000000" w:usb3="00000000" w:csb0="00000193" w:csb1="00000000"/>
  </w:font>
  <w:font w:name="Century Gothic">
    <w:panose1 w:val="020B0502020202020204"/>
    <w:charset w:val="00"/>
    <w:family w:val="swiss"/>
    <w:pitch w:val="variable"/>
    <w:sig w:usb0="00000287" w:usb1="00000000" w:usb2="00000000" w:usb3="00000000" w:csb0="0000009F" w:csb1="00000000"/>
  </w:font>
  <w:font w:name="Barlow">
    <w:panose1 w:val="00000500000000000000"/>
    <w:charset w:val="00"/>
    <w:family w:val="auto"/>
    <w:pitch w:val="variable"/>
    <w:sig w:usb0="20000007" w:usb1="00000000" w:usb2="00000000" w:usb3="00000000" w:csb0="00000193" w:csb1="00000000"/>
  </w:font>
  <w:font w:name="Barlow ExtraBold">
    <w:altName w:val="Calibri"/>
    <w:panose1 w:val="00000900000000000000"/>
    <w:charset w:val="4D"/>
    <w:family w:val="auto"/>
    <w:pitch w:val="variable"/>
    <w:sig w:usb0="20000007" w:usb1="00000000" w:usb2="00000000" w:usb3="00000000" w:csb0="00000193" w:csb1="00000000"/>
  </w:font>
  <w:font w:name="Barlow Black">
    <w:altName w:val="Calibri"/>
    <w:panose1 w:val="00000A00000000000000"/>
    <w:charset w:val="4D"/>
    <w:family w:val="auto"/>
    <w:pitch w:val="variable"/>
    <w:sig w:usb0="20000007" w:usb1="00000000" w:usb2="00000000" w:usb3="00000000" w:csb0="00000193" w:csb1="00000000"/>
  </w:font>
  <w:font w:name="Barlow SemiBold">
    <w:altName w:val="Calibri"/>
    <w:panose1 w:val="00000700000000000000"/>
    <w:charset w:val="4D"/>
    <w:family w:val="auto"/>
    <w:pitch w:val="variable"/>
    <w:sig w:usb0="20000007"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hideSpellingErrors/>
  <w:hideGrammatical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62A"/>
    <w:rsid w:val="001C4DB2"/>
    <w:rsid w:val="002D3F77"/>
    <w:rsid w:val="003776AD"/>
    <w:rsid w:val="003A237A"/>
    <w:rsid w:val="00416EF6"/>
    <w:rsid w:val="0049762A"/>
    <w:rsid w:val="004C3AB2"/>
    <w:rsid w:val="00B91D67"/>
    <w:rsid w:val="00CE014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8B3CD"/>
  <w14:defaultImageDpi w14:val="32767"/>
  <w15:chartTrackingRefBased/>
  <w15:docId w15:val="{CB1D7666-936E-3449-A94C-1BCF40B54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9762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9762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465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ansitionspro-hdf.fr/"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mailto:fdupre@transitionspro-hdf.fr"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631</Words>
  <Characters>3471</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Florence Dupré</dc:creator>
  <cp:keywords/>
  <dc:description/>
  <cp:lastModifiedBy>Florence Dupré</cp:lastModifiedBy>
  <cp:revision>2</cp:revision>
  <dcterms:created xsi:type="dcterms:W3CDTF">2021-06-04T08:59:00Z</dcterms:created>
  <dcterms:modified xsi:type="dcterms:W3CDTF">2021-06-04T08:59:00Z</dcterms:modified>
</cp:coreProperties>
</file>